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57" w:rsidRDefault="00927E57" w:rsidP="002F4FF4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/>
          <w:kern w:val="0"/>
          <w:sz w:val="32"/>
          <w:szCs w:val="32"/>
        </w:rPr>
        <w:t>化学化工学院</w:t>
      </w:r>
      <w:r w:rsidR="00723345">
        <w:rPr>
          <w:rFonts w:ascii="黑体" w:eastAsia="黑体" w:cs="黑体" w:hint="eastAsia"/>
          <w:kern w:val="0"/>
          <w:sz w:val="32"/>
          <w:szCs w:val="32"/>
        </w:rPr>
        <w:t>课程</w:t>
      </w:r>
      <w:r>
        <w:rPr>
          <w:rFonts w:ascii="黑体" w:eastAsia="黑体" w:cs="黑体"/>
          <w:kern w:val="0"/>
          <w:sz w:val="32"/>
          <w:szCs w:val="32"/>
        </w:rPr>
        <w:t>教学</w:t>
      </w:r>
      <w:r w:rsidR="00723345">
        <w:rPr>
          <w:rFonts w:ascii="黑体" w:eastAsia="黑体" w:cs="黑体"/>
          <w:kern w:val="0"/>
          <w:sz w:val="32"/>
          <w:szCs w:val="32"/>
        </w:rPr>
        <w:t>质量</w:t>
      </w:r>
      <w:r>
        <w:rPr>
          <w:rFonts w:ascii="黑体" w:eastAsia="黑体" w:cs="黑体"/>
          <w:kern w:val="0"/>
          <w:sz w:val="32"/>
          <w:szCs w:val="32"/>
        </w:rPr>
        <w:t>评价工作细则</w:t>
      </w:r>
      <w:r w:rsidR="00F3603F" w:rsidRPr="00F3603F">
        <w:rPr>
          <w:rFonts w:ascii="黑体" w:eastAsia="黑体" w:cs="黑体" w:hint="eastAsia"/>
          <w:kern w:val="0"/>
          <w:sz w:val="32"/>
          <w:szCs w:val="32"/>
        </w:rPr>
        <w:t>（试行）</w:t>
      </w:r>
      <w:bookmarkStart w:id="0" w:name="_GoBack"/>
      <w:bookmarkEnd w:id="0"/>
    </w:p>
    <w:p w:rsidR="00927E57" w:rsidRDefault="00927E57" w:rsidP="002F4FF4">
      <w:pPr>
        <w:autoSpaceDE w:val="0"/>
        <w:autoSpaceDN w:val="0"/>
        <w:adjustRightInd w:val="0"/>
        <w:rPr>
          <w:rFonts w:ascii="黑体" w:eastAsia="黑体" w:cs="黑体"/>
          <w:kern w:val="0"/>
          <w:sz w:val="32"/>
          <w:szCs w:val="32"/>
        </w:rPr>
      </w:pPr>
    </w:p>
    <w:p w:rsidR="00927E57" w:rsidRPr="00723345" w:rsidRDefault="00723345" w:rsidP="002F4FF4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为贯彻党的教育方针，落实立德树人根本任务，坚持“以本为本”，推进“四个回归”，坚持学生中心、产出导向、持续改进的育人理念，完善课程教学质量评价体系，推进质量文化建设，调动广大教师的积极性、主动性和创造性，促进教师教学的持续改进，不断提高教学质量与水平，</w:t>
      </w:r>
      <w:r w:rsidR="00927E57" w:rsidRPr="00723345">
        <w:rPr>
          <w:rFonts w:ascii="仿宋_GB2312" w:eastAsia="仿宋_GB2312" w:cs="仿宋_GB2312" w:hint="eastAsia"/>
          <w:kern w:val="0"/>
          <w:sz w:val="32"/>
          <w:szCs w:val="32"/>
        </w:rPr>
        <w:t>根据《吉首大学本科课程教学质量评价办法（试行）》（吉大发〔2024〕35号）文件，制定了学院</w:t>
      </w:r>
      <w:r w:rsidRPr="00723345">
        <w:rPr>
          <w:rFonts w:ascii="仿宋_GB2312" w:eastAsia="仿宋_GB2312" w:cs="仿宋_GB2312" w:hint="eastAsia"/>
          <w:kern w:val="0"/>
          <w:sz w:val="32"/>
          <w:szCs w:val="32"/>
        </w:rPr>
        <w:t>课程教学</w:t>
      </w:r>
      <w:r w:rsidRPr="00723345">
        <w:rPr>
          <w:rFonts w:ascii="仿宋_GB2312" w:eastAsia="仿宋_GB2312" w:cs="仿宋_GB2312"/>
          <w:kern w:val="0"/>
          <w:sz w:val="32"/>
          <w:szCs w:val="32"/>
        </w:rPr>
        <w:t>质量评价工作细则</w:t>
      </w:r>
      <w:r>
        <w:rPr>
          <w:rFonts w:ascii="仿宋_GB2312" w:eastAsia="仿宋_GB2312" w:cs="仿宋_GB2312"/>
          <w:kern w:val="0"/>
          <w:sz w:val="32"/>
          <w:szCs w:val="32"/>
        </w:rPr>
        <w:t>。</w:t>
      </w:r>
    </w:p>
    <w:p w:rsidR="00927E57" w:rsidRDefault="00927E57" w:rsidP="002F4FF4">
      <w:pPr>
        <w:autoSpaceDE w:val="0"/>
        <w:autoSpaceDN w:val="0"/>
        <w:adjustRightInd w:val="0"/>
        <w:rPr>
          <w:rFonts w:ascii="黑体" w:eastAsia="黑体" w:cs="黑体"/>
          <w:kern w:val="0"/>
          <w:sz w:val="32"/>
          <w:szCs w:val="32"/>
        </w:rPr>
      </w:pPr>
    </w:p>
    <w:p w:rsidR="00723345" w:rsidRPr="00723345" w:rsidRDefault="00723345" w:rsidP="002F4FF4">
      <w:pPr>
        <w:autoSpaceDE w:val="0"/>
        <w:autoSpaceDN w:val="0"/>
        <w:adjustRightInd w:val="0"/>
        <w:rPr>
          <w:rFonts w:ascii="仿宋_GB2312" w:eastAsia="仿宋_GB2312" w:cs="仿宋_GB2312"/>
          <w:b/>
          <w:kern w:val="0"/>
          <w:sz w:val="32"/>
          <w:szCs w:val="32"/>
        </w:rPr>
      </w:pPr>
      <w:r w:rsidRPr="00723345">
        <w:rPr>
          <w:rFonts w:ascii="仿宋_GB2312" w:eastAsia="仿宋_GB2312" w:cs="仿宋_GB2312"/>
          <w:b/>
          <w:kern w:val="0"/>
          <w:sz w:val="32"/>
          <w:szCs w:val="32"/>
        </w:rPr>
        <w:t>一、领导小组</w:t>
      </w:r>
    </w:p>
    <w:p w:rsidR="00723345" w:rsidRPr="00723345" w:rsidRDefault="00723345" w:rsidP="002F4FF4">
      <w:pPr>
        <w:autoSpaceDE w:val="0"/>
        <w:autoSpaceDN w:val="0"/>
        <w:adjustRightInd w:val="0"/>
        <w:rPr>
          <w:rFonts w:ascii="仿宋_GB2312" w:eastAsia="仿宋_GB2312" w:cs="仿宋_GB2312"/>
          <w:kern w:val="0"/>
          <w:sz w:val="32"/>
          <w:szCs w:val="32"/>
        </w:rPr>
      </w:pPr>
      <w:r w:rsidRPr="00723345">
        <w:rPr>
          <w:rFonts w:ascii="仿宋_GB2312" w:eastAsia="仿宋_GB2312" w:cs="仿宋_GB2312"/>
          <w:b/>
          <w:kern w:val="0"/>
          <w:sz w:val="32"/>
          <w:szCs w:val="32"/>
        </w:rPr>
        <w:t>组长：</w:t>
      </w:r>
      <w:r w:rsidRPr="00723345">
        <w:rPr>
          <w:rFonts w:ascii="仿宋_GB2312" w:eastAsia="仿宋_GB2312" w:cs="仿宋_GB2312"/>
          <w:kern w:val="0"/>
          <w:sz w:val="32"/>
          <w:szCs w:val="32"/>
        </w:rPr>
        <w:t>李佑</w:t>
      </w:r>
      <w:proofErr w:type="gramStart"/>
      <w:r w:rsidRPr="00723345">
        <w:rPr>
          <w:rFonts w:ascii="仿宋_GB2312" w:eastAsia="仿宋_GB2312" w:cs="仿宋_GB2312"/>
          <w:kern w:val="0"/>
          <w:sz w:val="32"/>
          <w:szCs w:val="32"/>
        </w:rPr>
        <w:t>稷</w:t>
      </w:r>
      <w:proofErr w:type="gramEnd"/>
    </w:p>
    <w:p w:rsidR="00723345" w:rsidRPr="00723345" w:rsidRDefault="00723345" w:rsidP="002F4FF4">
      <w:pPr>
        <w:autoSpaceDE w:val="0"/>
        <w:autoSpaceDN w:val="0"/>
        <w:adjustRightInd w:val="0"/>
        <w:rPr>
          <w:rFonts w:ascii="仿宋_GB2312" w:eastAsia="仿宋_GB2312" w:cs="仿宋_GB2312"/>
          <w:kern w:val="0"/>
          <w:sz w:val="32"/>
          <w:szCs w:val="32"/>
        </w:rPr>
      </w:pPr>
      <w:r w:rsidRPr="00723345">
        <w:rPr>
          <w:rFonts w:ascii="仿宋_GB2312" w:eastAsia="仿宋_GB2312" w:cs="仿宋_GB2312"/>
          <w:b/>
          <w:kern w:val="0"/>
          <w:sz w:val="32"/>
          <w:szCs w:val="32"/>
        </w:rPr>
        <w:t>副组长：</w:t>
      </w:r>
      <w:r w:rsidRPr="00723345">
        <w:rPr>
          <w:rFonts w:ascii="仿宋_GB2312" w:eastAsia="仿宋_GB2312" w:cs="仿宋_GB2312"/>
          <w:kern w:val="0"/>
          <w:sz w:val="32"/>
          <w:szCs w:val="32"/>
        </w:rPr>
        <w:t>肖竹平、唐石</w:t>
      </w:r>
    </w:p>
    <w:p w:rsidR="00723345" w:rsidRPr="00723345" w:rsidRDefault="00723345" w:rsidP="002F4FF4">
      <w:pPr>
        <w:autoSpaceDE w:val="0"/>
        <w:autoSpaceDN w:val="0"/>
        <w:adjustRightInd w:val="0"/>
        <w:rPr>
          <w:rFonts w:ascii="仿宋_GB2312" w:eastAsia="仿宋_GB2312" w:cs="仿宋_GB2312"/>
          <w:kern w:val="0"/>
          <w:sz w:val="32"/>
          <w:szCs w:val="32"/>
        </w:rPr>
      </w:pPr>
      <w:r w:rsidRPr="00723345">
        <w:rPr>
          <w:rFonts w:ascii="仿宋_GB2312" w:eastAsia="仿宋_GB2312" w:cs="仿宋_GB2312"/>
          <w:b/>
          <w:kern w:val="0"/>
          <w:sz w:val="32"/>
          <w:szCs w:val="32"/>
        </w:rPr>
        <w:t>成员：</w:t>
      </w:r>
      <w:r w:rsidRPr="00723345">
        <w:rPr>
          <w:rFonts w:ascii="仿宋_GB2312" w:eastAsia="仿宋_GB2312" w:cs="仿宋_GB2312"/>
          <w:kern w:val="0"/>
          <w:sz w:val="32"/>
          <w:szCs w:val="32"/>
        </w:rPr>
        <w:t>王迎春、顾仁勇、申永强、王福春、李运通、唐丹琪</w:t>
      </w:r>
    </w:p>
    <w:p w:rsidR="00723345" w:rsidRPr="002F4FF4" w:rsidRDefault="00723345" w:rsidP="002F4FF4">
      <w:pPr>
        <w:autoSpaceDE w:val="0"/>
        <w:autoSpaceDN w:val="0"/>
        <w:adjustRightInd w:val="0"/>
        <w:rPr>
          <w:rFonts w:ascii="仿宋_GB2312" w:eastAsia="仿宋_GB2312" w:cs="仿宋_GB2312"/>
          <w:b/>
          <w:kern w:val="0"/>
          <w:sz w:val="32"/>
          <w:szCs w:val="32"/>
        </w:rPr>
      </w:pPr>
      <w:r w:rsidRPr="002F4FF4">
        <w:rPr>
          <w:rFonts w:ascii="仿宋_GB2312" w:eastAsia="仿宋_GB2312" w:cs="仿宋_GB2312" w:hint="eastAsia"/>
          <w:b/>
          <w:kern w:val="0"/>
          <w:sz w:val="32"/>
          <w:szCs w:val="32"/>
        </w:rPr>
        <w:t>二、评价范围及指标体系</w:t>
      </w:r>
    </w:p>
    <w:p w:rsidR="00927E57" w:rsidRDefault="00453800" w:rsidP="002F4FF4">
      <w:pPr>
        <w:autoSpaceDE w:val="0"/>
        <w:autoSpaceDN w:val="0"/>
        <w:adjustRightInd w:val="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1、</w:t>
      </w:r>
      <w:r w:rsidR="00723345">
        <w:rPr>
          <w:rFonts w:ascii="仿宋_GB2312" w:eastAsia="仿宋_GB2312" w:cs="仿宋_GB2312" w:hint="eastAsia"/>
          <w:kern w:val="0"/>
          <w:sz w:val="32"/>
          <w:szCs w:val="32"/>
        </w:rPr>
        <w:t>学院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课程教学质量评价范围涵盖</w:t>
      </w:r>
      <w:r w:rsidR="00723345">
        <w:rPr>
          <w:rFonts w:ascii="仿宋_GB2312" w:eastAsia="仿宋_GB2312" w:cs="仿宋_GB2312" w:hint="eastAsia"/>
          <w:kern w:val="0"/>
          <w:sz w:val="32"/>
          <w:szCs w:val="32"/>
        </w:rPr>
        <w:t>各专业人才培养方案中的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所有课程的教学，按自然学期进行，其评价对象为教学班课程任课教师。根据被评价课程性质及授课方式的差异，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被评价课程只包括理论课和实验课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，不包括集中实践环节、毕业环节和第二课堂。</w:t>
      </w:r>
    </w:p>
    <w:p w:rsidR="00453800" w:rsidRDefault="00453800" w:rsidP="002F4FF4">
      <w:pPr>
        <w:autoSpaceDE w:val="0"/>
        <w:autoSpaceDN w:val="0"/>
        <w:adjustRightInd w:val="0"/>
        <w:rPr>
          <w:rFonts w:ascii="仿宋_GB2312" w:eastAsia="仿宋_GB2312" w:cs="仿宋_GB2312"/>
          <w:kern w:val="0"/>
          <w:sz w:val="32"/>
          <w:szCs w:val="32"/>
        </w:rPr>
      </w:pPr>
      <w:r w:rsidRPr="00453800">
        <w:rPr>
          <w:rFonts w:ascii="仿宋_GB2312" w:eastAsia="仿宋_GB2312" w:cs="仿宋_GB2312" w:hint="eastAsia"/>
          <w:kern w:val="0"/>
          <w:sz w:val="32"/>
          <w:szCs w:val="32"/>
        </w:rPr>
        <w:t>2、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本科课程教学质量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学院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评价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在学院评价工作</w:t>
      </w:r>
      <w:r w:rsidR="001F1614">
        <w:rPr>
          <w:rFonts w:ascii="仿宋_GB2312" w:eastAsia="仿宋_GB2312" w:cs="仿宋_GB2312" w:hint="eastAsia"/>
          <w:kern w:val="0"/>
          <w:sz w:val="32"/>
          <w:szCs w:val="32"/>
        </w:rPr>
        <w:t>领导小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组的领导下，</w:t>
      </w:r>
      <w:r w:rsidR="001F1614">
        <w:rPr>
          <w:rFonts w:ascii="仿宋_GB2312" w:eastAsia="仿宋_GB2312" w:cs="仿宋_GB2312" w:hint="eastAsia"/>
          <w:kern w:val="0"/>
          <w:sz w:val="32"/>
          <w:szCs w:val="32"/>
        </w:rPr>
        <w:t>由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教研室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具体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组织实施。</w:t>
      </w:r>
    </w:p>
    <w:p w:rsidR="00927E57" w:rsidRDefault="00453800" w:rsidP="002F4FF4">
      <w:pPr>
        <w:autoSpaceDE w:val="0"/>
        <w:autoSpaceDN w:val="0"/>
        <w:adjustRightInd w:val="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3、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本科课程教学质量评价按学年分学期进行，一个学年为一个评价周期。在一个学年两个学期开设同一门课程的教师，统计其学年评价结果时，按两个学期得分的算术平均分计算；一人多课的教师，统计其学年评价结果时，按其所有课程得分的算术平均分计算。</w:t>
      </w:r>
    </w:p>
    <w:p w:rsidR="00927E57" w:rsidRDefault="00453800" w:rsidP="002F4FF4">
      <w:pPr>
        <w:autoSpaceDE w:val="0"/>
        <w:autoSpaceDN w:val="0"/>
        <w:adjustRightInd w:val="0"/>
        <w:rPr>
          <w:rFonts w:ascii="仿宋_GB2312" w:eastAsia="仿宋_GB2312" w:cs="仿宋_GB2312"/>
          <w:kern w:val="0"/>
          <w:sz w:val="32"/>
          <w:szCs w:val="32"/>
        </w:rPr>
      </w:pPr>
      <w:r w:rsidRPr="002F4FF4">
        <w:rPr>
          <w:rFonts w:ascii="仿宋_GB2312" w:eastAsia="仿宋_GB2312" w:cs="仿宋_GB2312" w:hint="eastAsia"/>
          <w:kern w:val="0"/>
          <w:sz w:val="32"/>
          <w:szCs w:val="32"/>
        </w:rPr>
        <w:t>4、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评价指标体系遵循教育教学规律，落实学生中心、产出导向、持续改进的育人理念，坚持分类评价的原则，根据课程教学改革发展的需要动态修订和完善。评价指标体系分为理论类、实验类</w:t>
      </w:r>
      <w:r w:rsidR="001F1614">
        <w:rPr>
          <w:rFonts w:ascii="仿宋_GB2312" w:eastAsia="仿宋_GB2312" w:cs="仿宋_GB2312" w:hint="eastAsia"/>
          <w:kern w:val="0"/>
          <w:sz w:val="32"/>
          <w:szCs w:val="32"/>
        </w:rPr>
        <w:t>两种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类型。</w:t>
      </w:r>
    </w:p>
    <w:p w:rsidR="00927E57" w:rsidRPr="002F4FF4" w:rsidRDefault="00453800" w:rsidP="002F4FF4">
      <w:pPr>
        <w:autoSpaceDE w:val="0"/>
        <w:autoSpaceDN w:val="0"/>
        <w:adjustRightInd w:val="0"/>
        <w:rPr>
          <w:rFonts w:ascii="仿宋_GB2312" w:eastAsia="仿宋_GB2312" w:cs="仿宋_GB2312"/>
          <w:b/>
          <w:kern w:val="0"/>
          <w:sz w:val="32"/>
          <w:szCs w:val="32"/>
        </w:rPr>
      </w:pPr>
      <w:r w:rsidRPr="002F4FF4">
        <w:rPr>
          <w:rFonts w:ascii="仿宋_GB2312" w:eastAsia="仿宋_GB2312" w:cs="仿宋_GB2312" w:hint="eastAsia"/>
          <w:b/>
          <w:kern w:val="0"/>
          <w:sz w:val="32"/>
          <w:szCs w:val="32"/>
        </w:rPr>
        <w:t>三、</w:t>
      </w:r>
      <w:r w:rsidR="00927E57" w:rsidRPr="002F4FF4">
        <w:rPr>
          <w:rFonts w:ascii="仿宋_GB2312" w:eastAsia="仿宋_GB2312" w:cs="仿宋_GB2312" w:hint="eastAsia"/>
          <w:b/>
          <w:kern w:val="0"/>
          <w:sz w:val="32"/>
          <w:szCs w:val="32"/>
        </w:rPr>
        <w:t>评价的组织与实施</w:t>
      </w:r>
    </w:p>
    <w:p w:rsidR="00927E57" w:rsidRDefault="001F1614" w:rsidP="002F4FF4">
      <w:pPr>
        <w:autoSpaceDE w:val="0"/>
        <w:autoSpaceDN w:val="0"/>
        <w:adjustRightInd w:val="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1、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本科课程教学质量评价工作领导小组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负责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学院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整体评价工作的组织与实施，包括制定并完善评价指标体系、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制定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评价工作实施细则、指导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教研室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开展评价工作、审定评价结果、研究并处理评价工作中出现的重大问题等。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办公室设学院教务办，负责学院本科课程教学质量评价工作的组织与管理等工作。</w:t>
      </w:r>
    </w:p>
    <w:p w:rsidR="00927E57" w:rsidRDefault="001F1614" w:rsidP="002F4FF4">
      <w:pPr>
        <w:autoSpaceDE w:val="0"/>
        <w:autoSpaceDN w:val="0"/>
        <w:adjustRightInd w:val="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2、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要充分发挥学科带头人和优秀骨干教师的作用，覆盖学院所有开设课程。评价分值≥</w:t>
      </w:r>
      <w:r w:rsidR="00927E57">
        <w:rPr>
          <w:rFonts w:ascii="仿宋_GB2312" w:eastAsia="仿宋_GB2312" w:cs="仿宋_GB2312"/>
          <w:kern w:val="0"/>
          <w:sz w:val="32"/>
          <w:szCs w:val="32"/>
        </w:rPr>
        <w:t xml:space="preserve">90 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的</w:t>
      </w:r>
      <w:proofErr w:type="gramStart"/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课程门次占</w:t>
      </w:r>
      <w:proofErr w:type="gramEnd"/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学院本学期</w:t>
      </w:r>
      <w:proofErr w:type="gramStart"/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开课门次总数</w:t>
      </w:r>
      <w:proofErr w:type="gramEnd"/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的比例不超过</w:t>
      </w:r>
      <w:r w:rsidR="00927E57">
        <w:rPr>
          <w:rFonts w:ascii="仿宋_GB2312" w:eastAsia="仿宋_GB2312" w:cs="仿宋_GB2312"/>
          <w:kern w:val="0"/>
          <w:sz w:val="32"/>
          <w:szCs w:val="32"/>
        </w:rPr>
        <w:t>25%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，评价分值≥</w:t>
      </w:r>
      <w:r w:rsidR="00927E57">
        <w:rPr>
          <w:rFonts w:ascii="仿宋_GB2312" w:eastAsia="仿宋_GB2312" w:cs="仿宋_GB2312"/>
          <w:kern w:val="0"/>
          <w:sz w:val="32"/>
          <w:szCs w:val="32"/>
        </w:rPr>
        <w:t xml:space="preserve">80 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的</w:t>
      </w:r>
      <w:proofErr w:type="gramStart"/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课程门次占</w:t>
      </w:r>
      <w:proofErr w:type="gramEnd"/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学院本学期</w:t>
      </w:r>
      <w:proofErr w:type="gramStart"/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开课门次总数</w:t>
      </w:r>
      <w:proofErr w:type="gramEnd"/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的比例不超过</w:t>
      </w:r>
      <w:r w:rsidR="00927E57">
        <w:rPr>
          <w:rFonts w:ascii="仿宋_GB2312" w:eastAsia="仿宋_GB2312" w:cs="仿宋_GB2312"/>
          <w:kern w:val="0"/>
          <w:sz w:val="32"/>
          <w:szCs w:val="32"/>
        </w:rPr>
        <w:t>75%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927E57" w:rsidRDefault="00763647" w:rsidP="002F4FF4">
      <w:pPr>
        <w:autoSpaceDE w:val="0"/>
        <w:autoSpaceDN w:val="0"/>
        <w:adjustRightInd w:val="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3、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评价周期内有下列情况之一者直接认定为“不合格”：</w:t>
      </w:r>
    </w:p>
    <w:p w:rsidR="00927E57" w:rsidRDefault="00927E57" w:rsidP="002F4FF4">
      <w:pPr>
        <w:autoSpaceDE w:val="0"/>
        <w:autoSpaceDN w:val="0"/>
        <w:adjustRightInd w:val="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）教师存在师德师风问题；</w:t>
      </w:r>
    </w:p>
    <w:p w:rsidR="00927E57" w:rsidRDefault="00927E57" w:rsidP="002F4FF4">
      <w:pPr>
        <w:autoSpaceDE w:val="0"/>
        <w:autoSpaceDN w:val="0"/>
        <w:adjustRightInd w:val="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（</w:t>
      </w:r>
      <w:r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）出现严重或重大教学事故；</w:t>
      </w:r>
    </w:p>
    <w:p w:rsidR="00927E57" w:rsidRDefault="00927E57" w:rsidP="002F4FF4">
      <w:pPr>
        <w:autoSpaceDE w:val="0"/>
        <w:autoSpaceDN w:val="0"/>
        <w:adjustRightInd w:val="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）课程教学评价总分＜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60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分。</w:t>
      </w:r>
    </w:p>
    <w:p w:rsidR="00927E57" w:rsidRPr="002F4FF4" w:rsidRDefault="002F4FF4" w:rsidP="002F4FF4">
      <w:pPr>
        <w:autoSpaceDE w:val="0"/>
        <w:autoSpaceDN w:val="0"/>
        <w:adjustRightInd w:val="0"/>
        <w:rPr>
          <w:rFonts w:ascii="仿宋_GB2312" w:eastAsia="仿宋_GB2312" w:cs="仿宋_GB2312"/>
          <w:b/>
          <w:kern w:val="0"/>
          <w:sz w:val="32"/>
          <w:szCs w:val="32"/>
        </w:rPr>
      </w:pPr>
      <w:r w:rsidRPr="002F4FF4">
        <w:rPr>
          <w:rFonts w:ascii="仿宋_GB2312" w:eastAsia="仿宋_GB2312" w:cs="仿宋_GB2312" w:hint="eastAsia"/>
          <w:b/>
          <w:kern w:val="0"/>
          <w:sz w:val="32"/>
          <w:szCs w:val="32"/>
        </w:rPr>
        <w:t>四、</w:t>
      </w:r>
      <w:r w:rsidR="00927E57" w:rsidRPr="002F4FF4">
        <w:rPr>
          <w:rFonts w:ascii="仿宋_GB2312" w:eastAsia="仿宋_GB2312" w:cs="仿宋_GB2312" w:hint="eastAsia"/>
          <w:b/>
          <w:kern w:val="0"/>
          <w:sz w:val="32"/>
          <w:szCs w:val="32"/>
        </w:rPr>
        <w:t>评价结果</w:t>
      </w:r>
      <w:r w:rsidRPr="002F4FF4">
        <w:rPr>
          <w:rFonts w:ascii="仿宋_GB2312" w:eastAsia="仿宋_GB2312" w:cs="仿宋_GB2312" w:hint="eastAsia"/>
          <w:b/>
          <w:kern w:val="0"/>
          <w:sz w:val="32"/>
          <w:szCs w:val="32"/>
        </w:rPr>
        <w:t>上报</w:t>
      </w:r>
    </w:p>
    <w:p w:rsidR="002F4FF4" w:rsidRDefault="002F4FF4" w:rsidP="002F4FF4">
      <w:pPr>
        <w:autoSpaceDE w:val="0"/>
        <w:autoSpaceDN w:val="0"/>
        <w:adjustRightInd w:val="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1、学院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教学评价结果在一定范围内公示。教学评价的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意见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通过相应的渠道反馈给相关教师并经教师本人确认。教师本人如不认可评价结果，可在公示期内向所在学院提出异议和申诉，学院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将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组织院教学委员会统一研究，并给出裁定意见。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公示无异议后，将评价结果上报至教务处。</w:t>
      </w:r>
    </w:p>
    <w:p w:rsidR="00927E57" w:rsidRDefault="002F4FF4" w:rsidP="002F4FF4">
      <w:pPr>
        <w:autoSpaceDE w:val="0"/>
        <w:autoSpaceDN w:val="0"/>
        <w:adjustRightInd w:val="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2、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贯彻持续改进的理念。学院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根据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课堂教学质量评价结果，对教师的教学情况进行及时诊断、沟通和指导。对于教学效果相对较差的任课教师，学院要进行有效帮扶，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要求</w:t>
      </w:r>
      <w:r w:rsidR="00927E57">
        <w:rPr>
          <w:rFonts w:ascii="仿宋_GB2312" w:eastAsia="仿宋_GB2312" w:cs="仿宋_GB2312" w:hint="eastAsia"/>
          <w:kern w:val="0"/>
          <w:sz w:val="32"/>
          <w:szCs w:val="32"/>
        </w:rPr>
        <w:t>教师积极主动参与校内外举办的有关教师教学能力提升、教学方式方法培训等教师教学发展活动，促进教育教学能力不断提升。</w:t>
      </w:r>
    </w:p>
    <w:p w:rsidR="002E3121" w:rsidRPr="002F4FF4" w:rsidRDefault="002E3121" w:rsidP="002F4FF4">
      <w:pPr>
        <w:autoSpaceDE w:val="0"/>
        <w:autoSpaceDN w:val="0"/>
        <w:adjustRightInd w:val="0"/>
        <w:rPr>
          <w:rFonts w:ascii="仿宋_GB2312" w:eastAsia="仿宋_GB2312" w:cs="仿宋_GB2312"/>
          <w:kern w:val="0"/>
          <w:sz w:val="32"/>
          <w:szCs w:val="32"/>
        </w:rPr>
      </w:pPr>
    </w:p>
    <w:p w:rsidR="002F4FF4" w:rsidRPr="002F4FF4" w:rsidRDefault="002F4FF4" w:rsidP="002F4FF4">
      <w:pPr>
        <w:autoSpaceDE w:val="0"/>
        <w:autoSpaceDN w:val="0"/>
        <w:adjustRightInd w:val="0"/>
        <w:rPr>
          <w:rFonts w:ascii="仿宋_GB2312" w:eastAsia="仿宋_GB2312" w:cs="仿宋_GB2312"/>
          <w:kern w:val="0"/>
          <w:sz w:val="32"/>
          <w:szCs w:val="32"/>
        </w:rPr>
      </w:pPr>
    </w:p>
    <w:p w:rsidR="002F4FF4" w:rsidRPr="002F4FF4" w:rsidRDefault="002F4FF4" w:rsidP="002F4FF4">
      <w:pPr>
        <w:autoSpaceDE w:val="0"/>
        <w:autoSpaceDN w:val="0"/>
        <w:adjustRightInd w:val="0"/>
        <w:ind w:leftChars="1957" w:left="4110"/>
        <w:rPr>
          <w:rFonts w:ascii="仿宋_GB2312" w:eastAsia="仿宋_GB2312" w:cs="仿宋_GB2312"/>
          <w:kern w:val="0"/>
          <w:sz w:val="32"/>
          <w:szCs w:val="32"/>
        </w:rPr>
      </w:pPr>
      <w:r w:rsidRPr="002F4FF4">
        <w:rPr>
          <w:rFonts w:ascii="仿宋_GB2312" w:eastAsia="仿宋_GB2312" w:cs="仿宋_GB2312"/>
          <w:kern w:val="0"/>
          <w:sz w:val="32"/>
          <w:szCs w:val="32"/>
        </w:rPr>
        <w:t>化学化工学院</w:t>
      </w:r>
    </w:p>
    <w:p w:rsidR="002F4FF4" w:rsidRPr="002F4FF4" w:rsidRDefault="002F4FF4" w:rsidP="002F4FF4">
      <w:pPr>
        <w:autoSpaceDE w:val="0"/>
        <w:autoSpaceDN w:val="0"/>
        <w:adjustRightInd w:val="0"/>
        <w:ind w:leftChars="1957" w:left="4110"/>
        <w:rPr>
          <w:rFonts w:ascii="仿宋_GB2312" w:eastAsia="仿宋_GB2312" w:cs="仿宋_GB2312"/>
          <w:kern w:val="0"/>
          <w:sz w:val="32"/>
          <w:szCs w:val="32"/>
        </w:rPr>
      </w:pPr>
    </w:p>
    <w:p w:rsidR="002F4FF4" w:rsidRPr="002F4FF4" w:rsidRDefault="002F4FF4" w:rsidP="002F4FF4">
      <w:pPr>
        <w:autoSpaceDE w:val="0"/>
        <w:autoSpaceDN w:val="0"/>
        <w:adjustRightInd w:val="0"/>
        <w:ind w:leftChars="1957" w:left="4110"/>
        <w:rPr>
          <w:rFonts w:ascii="仿宋_GB2312" w:eastAsia="仿宋_GB2312" w:cs="仿宋_GB2312"/>
          <w:kern w:val="0"/>
          <w:sz w:val="32"/>
          <w:szCs w:val="32"/>
        </w:rPr>
      </w:pPr>
      <w:r w:rsidRPr="002F4FF4"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 w:rsidRPr="002F4FF4">
        <w:rPr>
          <w:rFonts w:ascii="仿宋_GB2312" w:eastAsia="仿宋_GB2312" w:cs="仿宋_GB2312"/>
          <w:kern w:val="0"/>
          <w:sz w:val="32"/>
          <w:szCs w:val="32"/>
        </w:rPr>
        <w:t>024年</w:t>
      </w:r>
      <w:r w:rsidRPr="002F4FF4">
        <w:rPr>
          <w:rFonts w:ascii="仿宋_GB2312" w:eastAsia="仿宋_GB2312" w:cs="仿宋_GB2312" w:hint="eastAsia"/>
          <w:kern w:val="0"/>
          <w:sz w:val="32"/>
          <w:szCs w:val="32"/>
        </w:rPr>
        <w:t>9月2日</w:t>
      </w:r>
    </w:p>
    <w:sectPr w:rsidR="002F4FF4" w:rsidRPr="002F4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6C"/>
    <w:rsid w:val="001F1614"/>
    <w:rsid w:val="002E3121"/>
    <w:rsid w:val="002F4FF4"/>
    <w:rsid w:val="00453800"/>
    <w:rsid w:val="00723345"/>
    <w:rsid w:val="00763647"/>
    <w:rsid w:val="00927E57"/>
    <w:rsid w:val="00F3603F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0C925-F008-4B31-A1A6-2845ABFC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2025-03-06T08:19:00Z</dcterms:created>
  <dcterms:modified xsi:type="dcterms:W3CDTF">2025-03-14T00:42:00Z</dcterms:modified>
</cp:coreProperties>
</file>